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97F4E" w:rsidRPr="001829A1" w:rsidTr="003566FC">
        <w:trPr>
          <w:trHeight w:val="188"/>
        </w:trPr>
        <w:tc>
          <w:tcPr>
            <w:tcW w:w="4428" w:type="dxa"/>
          </w:tcPr>
          <w:p w:rsidR="00497F4E" w:rsidRPr="001829A1" w:rsidRDefault="00497F4E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الرقم:</w:t>
            </w:r>
          </w:p>
        </w:tc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Ref:</w:t>
            </w:r>
          </w:p>
        </w:tc>
      </w:tr>
      <w:tr w:rsidR="00497F4E" w:rsidRPr="001829A1" w:rsidTr="003566FC">
        <w:trPr>
          <w:trHeight w:val="187"/>
        </w:trPr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التاريخ:</w:t>
            </w:r>
          </w:p>
        </w:tc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Date:</w:t>
            </w:r>
          </w:p>
        </w:tc>
      </w:tr>
      <w:tr w:rsidR="00133F7B" w:rsidRPr="001829A1" w:rsidTr="003566FC">
        <w:trPr>
          <w:trHeight w:val="187"/>
        </w:trPr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</w:p>
        </w:tc>
      </w:tr>
      <w:tr w:rsidR="00133F7B" w:rsidRPr="001829A1" w:rsidTr="003566FC">
        <w:trPr>
          <w:trHeight w:val="187"/>
        </w:trPr>
        <w:tc>
          <w:tcPr>
            <w:tcW w:w="4428" w:type="dxa"/>
          </w:tcPr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سعادة/ مري</w:t>
            </w:r>
            <w:r w:rsidRP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م </w:t>
            </w: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السويدي             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 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 المحترم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ة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نائب الرئيس التنفيذي لشؤون الترخيص والرقابة والتنفيذ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هيئة الأوراق المالية والسلع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H.E. Maryam Butti Al Suwaidi</w:t>
            </w:r>
          </w:p>
          <w:p w:rsidR="00133F7B" w:rsidRPr="001829A1" w:rsidRDefault="00373B12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Deputy Chief Executive Officer</w:t>
            </w:r>
            <w:r w:rsidR="00D71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 xml:space="preserve"> for L</w:t>
            </w:r>
            <w:r w:rsidR="00133F7B"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icensing, Supervision and Enforcement</w:t>
            </w:r>
          </w:p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Securities and Commodities Authority</w:t>
            </w:r>
          </w:p>
        </w:tc>
      </w:tr>
      <w:tr w:rsidR="00E5441C" w:rsidRPr="001829A1" w:rsidTr="003566FC">
        <w:tc>
          <w:tcPr>
            <w:tcW w:w="8856" w:type="dxa"/>
            <w:gridSpan w:val="2"/>
          </w:tcPr>
          <w:p w:rsidR="00FF17B0" w:rsidRPr="001829A1" w:rsidRDefault="00E5441C" w:rsidP="005272FA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  <w:t xml:space="preserve">الموضوع: طلب تجديد ترخيص </w:t>
            </w:r>
            <w:r w:rsidR="005272FA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  <w:t>نشاط الاستشارات المالية و التحليل المالي</w:t>
            </w:r>
          </w:p>
          <w:p w:rsidR="00E5441C" w:rsidRPr="000C7891" w:rsidRDefault="00D71C93" w:rsidP="007A20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Re: A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pplication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to renew the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  license </w:t>
            </w:r>
            <w:r w:rsidR="00E5441C" w:rsidRPr="000C78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for activity of </w:t>
            </w:r>
            <w:r w:rsidR="007A202D" w:rsidRPr="000C78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Financial Consultation and Financial Analysis</w:t>
            </w:r>
          </w:p>
          <w:p w:rsidR="00AB7051" w:rsidRPr="001829A1" w:rsidRDefault="00AB7051" w:rsidP="003566FC">
            <w:pPr>
              <w:bidi/>
              <w:spacing w:line="276" w:lineRule="auto"/>
              <w:jc w:val="center"/>
              <w:rPr>
                <w:rtl/>
              </w:rPr>
            </w:pPr>
          </w:p>
        </w:tc>
      </w:tr>
      <w:tr w:rsidR="00CE3824" w:rsidRPr="001829A1" w:rsidTr="006E3535">
        <w:tc>
          <w:tcPr>
            <w:tcW w:w="4428" w:type="dxa"/>
          </w:tcPr>
          <w:p w:rsidR="00CE3824" w:rsidRPr="001829A1" w:rsidRDefault="00CE3824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تحية طيبة و بعد،،،</w:t>
            </w:r>
          </w:p>
        </w:tc>
        <w:tc>
          <w:tcPr>
            <w:tcW w:w="4428" w:type="dxa"/>
          </w:tcPr>
          <w:p w:rsidR="00CE3824" w:rsidRPr="001829A1" w:rsidRDefault="00CE3824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Greetings,</w:t>
            </w:r>
          </w:p>
          <w:p w:rsidR="00497F4E" w:rsidRPr="001829A1" w:rsidRDefault="00497F4E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62A" w:rsidRPr="0031262A" w:rsidTr="006E3535">
        <w:trPr>
          <w:trHeight w:val="5399"/>
        </w:trPr>
        <w:tc>
          <w:tcPr>
            <w:tcW w:w="4428" w:type="dxa"/>
          </w:tcPr>
          <w:p w:rsidR="00633984" w:rsidRPr="003566FC" w:rsidRDefault="002D2533" w:rsidP="005272FA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بالإشارة الى قرب انتهاء ترخيص الشركة </w:t>
            </w:r>
            <w:r w:rsidR="003566FC" w:rsidRPr="003566FC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 xml:space="preserve">لمزاولة نشاط </w:t>
            </w:r>
            <w:r w:rsidR="005272FA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الاستشارات المالية و التحليل المالي</w:t>
            </w:r>
            <w:bookmarkStart w:id="0" w:name="_GoBack"/>
            <w:bookmarkEnd w:id="0"/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، والى المادة </w:t>
            </w:r>
            <w:r w:rsidR="000C7891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 xml:space="preserve">( 8) (2) من قرار مجلس إدارة الهيئة رقم 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(</w:t>
            </w:r>
            <w:r w:rsidR="000C7891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48/ر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) </w:t>
            </w:r>
            <w:r w:rsidR="000C7891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 xml:space="preserve"> لسنة 2008،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 </w:t>
            </w:r>
            <w:r w:rsidR="000C7891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و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التي تنص على أنه " يجدد الترخيص</w:t>
            </w:r>
            <w:r w:rsidR="000C7891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 بموجب طلب يقدم إلى الهيئة</w:t>
            </w:r>
            <w:r w:rsidR="000C7891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 xml:space="preserve"> قبل نهاية نوفمبر من كل سنة 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" </w:t>
            </w:r>
            <w:r w:rsidR="00633984" w:rsidRPr="003566FC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.</w:t>
            </w:r>
          </w:p>
          <w:p w:rsidR="00633984" w:rsidRPr="003566FC" w:rsidRDefault="00633984" w:rsidP="003566F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46"/>
                <w:szCs w:val="46"/>
                <w:rtl/>
                <w:lang w:bidi="ar-AE"/>
              </w:rPr>
            </w:pPr>
          </w:p>
          <w:p w:rsidR="002D2533" w:rsidRPr="003566FC" w:rsidRDefault="002D2533" w:rsidP="003566F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  يسرنا إعلامكم برغبة الشركة بتجديد ترخيصها لدى هيئة الأوراق المالية والسلع.</w:t>
            </w:r>
          </w:p>
          <w:p w:rsidR="002D2533" w:rsidRPr="003566FC" w:rsidRDefault="002D2533" w:rsidP="003566F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وعليه يرجى التكرم بالاطلاع على المستندات المرفقة وموافاتنا بشهادة تجديد الترخيص عند الانتهاء.</w:t>
            </w:r>
          </w:p>
          <w:p w:rsidR="00E5441C" w:rsidRPr="001829A1" w:rsidRDefault="00E5441C" w:rsidP="003566FC">
            <w:pPr>
              <w:bidi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-AE"/>
              </w:rPr>
            </w:pPr>
          </w:p>
        </w:tc>
        <w:tc>
          <w:tcPr>
            <w:tcW w:w="4428" w:type="dxa"/>
          </w:tcPr>
          <w:p w:rsidR="00BE3711" w:rsidRPr="0031262A" w:rsidRDefault="00D71C93" w:rsidP="006E35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Since</w:t>
            </w:r>
            <w:r w:rsidR="00BE371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the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Period of</w:t>
            </w:r>
            <w:r w:rsidR="00BE371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company license for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practicing the Activity of 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Financial Consultation and Financial Analysis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is reaching </w:t>
            </w:r>
            <w:r w:rsidR="00633984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its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end, a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nd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in accordance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with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Article (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8)(2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) of </w:t>
            </w:r>
            <w:r w:rsidR="003566FC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r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egulation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48R of 2008</w:t>
            </w:r>
            <w:r w:rsidR="003566FC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,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which states </w:t>
            </w:r>
            <w:r w:rsidR="003566FC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“</w:t>
            </w:r>
            <w:r w:rsidR="00633984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The license shall be renewed by 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an </w:t>
            </w:r>
            <w:r w:rsidR="00633984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application submitted to the Authority 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by the end of November</w:t>
            </w:r>
            <w:r w:rsidR="003566FC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of e</w:t>
            </w:r>
            <w:r w:rsidR="007A202D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very</w:t>
            </w:r>
            <w:r w:rsidR="003566FC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year</w:t>
            </w:r>
            <w:r w:rsidR="000E66A1" w:rsidRPr="0031262A">
              <w:rPr>
                <w:rFonts w:ascii="Times New Roman" w:hAnsi="Times New Roman" w:cs="Times New Roman"/>
                <w:sz w:val="26"/>
                <w:szCs w:val="26"/>
              </w:rPr>
              <w:t>”.</w:t>
            </w:r>
          </w:p>
          <w:p w:rsidR="00633984" w:rsidRPr="0031262A" w:rsidRDefault="00633984" w:rsidP="003566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E66A1" w:rsidRPr="0031262A" w:rsidRDefault="00BE3711" w:rsidP="006E35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We are pleased to inform you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that the 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company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desires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to renew its license with the Securities and Commodities Authority.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So 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kindly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find the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attached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relevant 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documents and </w:t>
            </w:r>
            <w:r w:rsidR="00D71C93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request you to </w:t>
            </w:r>
            <w:r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provide us with a license renewal certificate</w:t>
            </w:r>
            <w:r w:rsidR="000E66A1" w:rsidRPr="003126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5441C" w:rsidRPr="001829A1" w:rsidTr="006E3535">
        <w:tc>
          <w:tcPr>
            <w:tcW w:w="4428" w:type="dxa"/>
          </w:tcPr>
          <w:p w:rsidR="00E5441C" w:rsidRPr="001829A1" w:rsidRDefault="007473C8" w:rsidP="003566FC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>وتفضلوا بقبول فائق الاحترام والتقدير،،،</w:t>
            </w:r>
          </w:p>
        </w:tc>
        <w:tc>
          <w:tcPr>
            <w:tcW w:w="4428" w:type="dxa"/>
          </w:tcPr>
          <w:p w:rsidR="00E5441C" w:rsidRPr="001829A1" w:rsidRDefault="007473C8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Sincerely yours,</w:t>
            </w:r>
          </w:p>
        </w:tc>
      </w:tr>
      <w:tr w:rsidR="00BE3711" w:rsidRPr="001829A1" w:rsidTr="003566FC">
        <w:tc>
          <w:tcPr>
            <w:tcW w:w="4428" w:type="dxa"/>
          </w:tcPr>
          <w:p w:rsidR="00BE3711" w:rsidRPr="006E3535" w:rsidRDefault="00BE371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rtl/>
              </w:rPr>
            </w:pPr>
          </w:p>
        </w:tc>
        <w:tc>
          <w:tcPr>
            <w:tcW w:w="4428" w:type="dxa"/>
          </w:tcPr>
          <w:p w:rsidR="00BE3711" w:rsidRPr="006E3535" w:rsidRDefault="00BE371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bidi="ar-AE"/>
              </w:rPr>
            </w:pPr>
          </w:p>
        </w:tc>
      </w:tr>
      <w:tr w:rsidR="00BE3711" w:rsidRPr="001829A1" w:rsidTr="003566FC">
        <w:tc>
          <w:tcPr>
            <w:tcW w:w="4428" w:type="dxa"/>
          </w:tcPr>
          <w:p w:rsidR="00BE3711" w:rsidRPr="006E3535" w:rsidRDefault="001829A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  <w:r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اسم الشركة</w:t>
            </w:r>
            <w:r w:rsidR="003566FC"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 xml:space="preserve">               </w:t>
            </w:r>
            <w:r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 xml:space="preserve"> ....................</w:t>
            </w:r>
          </w:p>
        </w:tc>
        <w:tc>
          <w:tcPr>
            <w:tcW w:w="4428" w:type="dxa"/>
          </w:tcPr>
          <w:p w:rsidR="00BE3711" w:rsidRPr="006E3535" w:rsidRDefault="00BE371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Company</w:t>
            </w:r>
            <w:r w:rsidR="001829A1"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 xml:space="preserve"> name</w:t>
            </w:r>
            <w:r w:rsidR="003566FC"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 xml:space="preserve">  </w:t>
            </w:r>
            <w:r w:rsidR="001829A1"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…………..</w:t>
            </w:r>
          </w:p>
        </w:tc>
      </w:tr>
      <w:tr w:rsidR="00BE3711" w:rsidRPr="001829A1" w:rsidTr="003566FC">
        <w:trPr>
          <w:trHeight w:val="65"/>
        </w:trPr>
        <w:tc>
          <w:tcPr>
            <w:tcW w:w="4428" w:type="dxa"/>
          </w:tcPr>
          <w:p w:rsidR="00BE3711" w:rsidRPr="006E3535" w:rsidRDefault="001829A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اسم المدير العام/ التنفيذي</w:t>
            </w:r>
            <w:r w:rsidR="003566FC"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r w:rsidRPr="006E353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..................</w:t>
            </w:r>
          </w:p>
        </w:tc>
        <w:tc>
          <w:tcPr>
            <w:tcW w:w="4428" w:type="dxa"/>
          </w:tcPr>
          <w:p w:rsidR="00BE3711" w:rsidRPr="006E3535" w:rsidRDefault="001829A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  <w:r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Director name</w:t>
            </w:r>
            <w:r w:rsidR="003566FC"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 xml:space="preserve">   </w:t>
            </w:r>
            <w:r w:rsidRPr="006E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…………….</w:t>
            </w:r>
          </w:p>
        </w:tc>
      </w:tr>
      <w:tr w:rsidR="00EC45C8" w:rsidRPr="001829A1" w:rsidTr="003566FC">
        <w:tc>
          <w:tcPr>
            <w:tcW w:w="8856" w:type="dxa"/>
            <w:gridSpan w:val="2"/>
            <w:vAlign w:val="center"/>
          </w:tcPr>
          <w:p w:rsidR="00B930A3" w:rsidRPr="001829A1" w:rsidRDefault="00B930A3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AE"/>
              </w:rPr>
            </w:pPr>
          </w:p>
          <w:p w:rsidR="00EC45C8" w:rsidRPr="001829A1" w:rsidRDefault="003566FC" w:rsidP="003566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lastRenderedPageBreak/>
              <w:t xml:space="preserve"> </w:t>
            </w:r>
            <w:r w:rsidR="00EC45C8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(signature)</w:t>
            </w:r>
          </w:p>
        </w:tc>
      </w:tr>
    </w:tbl>
    <w:p w:rsidR="00A37943" w:rsidRPr="001829A1" w:rsidRDefault="00A37943" w:rsidP="003566FC">
      <w:pPr>
        <w:bidi/>
        <w:rPr>
          <w:lang w:bidi="ar-AE"/>
        </w:rPr>
      </w:pPr>
    </w:p>
    <w:sectPr w:rsidR="00A37943" w:rsidRPr="001829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63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601" w:hanging="360"/>
      </w:p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22CF1242"/>
    <w:multiLevelType w:val="hybridMultilevel"/>
    <w:tmpl w:val="529C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353"/>
    <w:multiLevelType w:val="hybridMultilevel"/>
    <w:tmpl w:val="C3226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0500A"/>
    <w:multiLevelType w:val="hybridMultilevel"/>
    <w:tmpl w:val="51627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66AE"/>
    <w:multiLevelType w:val="hybridMultilevel"/>
    <w:tmpl w:val="C3C4C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05361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30479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A5930"/>
    <w:multiLevelType w:val="hybridMultilevel"/>
    <w:tmpl w:val="AB2644EA"/>
    <w:lvl w:ilvl="0" w:tplc="0409000F">
      <w:start w:val="1"/>
      <w:numFmt w:val="decimal"/>
      <w:lvlText w:val="%1."/>
      <w:lvlJc w:val="left"/>
      <w:pPr>
        <w:ind w:left="3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79DF29EF"/>
    <w:multiLevelType w:val="hybridMultilevel"/>
    <w:tmpl w:val="2A542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C"/>
    <w:rsid w:val="000C7891"/>
    <w:rsid w:val="000E66A1"/>
    <w:rsid w:val="00133F7B"/>
    <w:rsid w:val="001829A1"/>
    <w:rsid w:val="00210E66"/>
    <w:rsid w:val="002D15B9"/>
    <w:rsid w:val="002D2533"/>
    <w:rsid w:val="0031262A"/>
    <w:rsid w:val="003566FC"/>
    <w:rsid w:val="00360694"/>
    <w:rsid w:val="00373B12"/>
    <w:rsid w:val="003F2505"/>
    <w:rsid w:val="00436F08"/>
    <w:rsid w:val="00446B67"/>
    <w:rsid w:val="00497F4E"/>
    <w:rsid w:val="005272FA"/>
    <w:rsid w:val="00541D42"/>
    <w:rsid w:val="00571844"/>
    <w:rsid w:val="005B5CF4"/>
    <w:rsid w:val="00633984"/>
    <w:rsid w:val="006E3535"/>
    <w:rsid w:val="00726060"/>
    <w:rsid w:val="00731EAB"/>
    <w:rsid w:val="007473C8"/>
    <w:rsid w:val="007A202D"/>
    <w:rsid w:val="00A37943"/>
    <w:rsid w:val="00AB7051"/>
    <w:rsid w:val="00B930A3"/>
    <w:rsid w:val="00BA0475"/>
    <w:rsid w:val="00BE3711"/>
    <w:rsid w:val="00C03B7B"/>
    <w:rsid w:val="00CE3824"/>
    <w:rsid w:val="00D71C93"/>
    <w:rsid w:val="00E5441C"/>
    <w:rsid w:val="00EC45C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5F753-DD3A-4179-BA3D-0772D2BA74C5}"/>
</file>

<file path=customXml/itemProps2.xml><?xml version="1.0" encoding="utf-8"?>
<ds:datastoreItem xmlns:ds="http://schemas.openxmlformats.org/officeDocument/2006/customXml" ds:itemID="{14FBBBD3-B410-4BCF-806F-8B0C1A62EC64}"/>
</file>

<file path=customXml/itemProps3.xml><?xml version="1.0" encoding="utf-8"?>
<ds:datastoreItem xmlns:ds="http://schemas.openxmlformats.org/officeDocument/2006/customXml" ds:itemID="{DDFB02B6-BFA7-4D26-B5DE-69AD6999054A}"/>
</file>

<file path=customXml/itemProps4.xml><?xml version="1.0" encoding="utf-8"?>
<ds:datastoreItem xmlns:ds="http://schemas.openxmlformats.org/officeDocument/2006/customXml" ds:itemID="{A355468B-D3A8-4800-90E6-C4A628B08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Broker_Renewal_letter_Form.docx</vt:lpstr>
    </vt:vector>
  </TitlesOfParts>
  <Company>Securities &amp; Commodities Authority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Broker_Renewal_letter_Form.docx</dc:title>
  <dc:creator>Asma Saif Al Hanaee</dc:creator>
  <cp:lastModifiedBy>Asma Saif Al Hanaee</cp:lastModifiedBy>
  <cp:revision>4</cp:revision>
  <cp:lastPrinted>2012-10-02T07:10:00Z</cp:lastPrinted>
  <dcterms:created xsi:type="dcterms:W3CDTF">2013-07-02T06:20:00Z</dcterms:created>
  <dcterms:modified xsi:type="dcterms:W3CDTF">2013-07-02T06:26:00Z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